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 w:before="0"/>
      </w:pPr>
      <w:r>
        <w:rPr>
          <w:rFonts w:ascii="Cambria" w:cs="Cambria" w:eastAsia="Cambria" w:hAnsi="Cambria"/>
          <w:b/>
          <w:bCs/>
          <w:color w:val="173B2A"/>
          <w:sz w:val="40"/>
          <w:szCs w:val="40"/>
        </w:rPr>
        <w:t xml:space="preserve">Liquidity and division notes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6626B"/>
          <w:sz w:val="20"/>
          <w:szCs w:val="20"/>
        </w:rPr>
        <w:t xml:space="preserve">A division on paper is not the same as a division in practice. Raise these with the client early.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b/>
          <w:bCs/>
          <w:color w:val="132633"/>
          <w:sz w:val="22"/>
          <w:szCs w:val="22"/>
        </w:rPr>
        <w:t xml:space="preserve">Cash for first claims. </w:t>
      </w:r>
      <w:r>
        <w:rPr>
          <w:rFonts w:ascii="Calibri" w:cs="Calibri" w:eastAsia="Calibri" w:hAnsi="Calibri"/>
          <w:color w:val="132633"/>
          <w:sz w:val="22"/>
          <w:szCs w:val="22"/>
        </w:rPr>
        <w:t xml:space="preserve">Funeral costs and debts are paid first. Check there is enough cash or easily sold assets to pay them without forcing a sale of a family home or business.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b/>
          <w:bCs/>
          <w:color w:val="132633"/>
          <w:sz w:val="22"/>
          <w:szCs w:val="22"/>
        </w:rPr>
        <w:t xml:space="preserve">Assets that cannot be split. </w:t>
      </w:r>
      <w:r>
        <w:rPr>
          <w:rFonts w:ascii="Calibri" w:cs="Calibri" w:eastAsia="Calibri" w:hAnsi="Calibri"/>
          <w:color w:val="132633"/>
          <w:sz w:val="22"/>
          <w:szCs w:val="22"/>
        </w:rPr>
        <w:t xml:space="preserve">A house, a business, or a private holding cannot be divided easily. The family may need to agree on a sale, a buyout, or a balancing payment between heirs. Plan for this conversation.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b/>
          <w:bCs/>
          <w:color w:val="132633"/>
          <w:sz w:val="22"/>
          <w:szCs w:val="22"/>
        </w:rPr>
        <w:t xml:space="preserve">Balancing payments. </w:t>
      </w:r>
      <w:r>
        <w:rPr>
          <w:rFonts w:ascii="Calibri" w:cs="Calibri" w:eastAsia="Calibri" w:hAnsi="Calibri"/>
          <w:color w:val="132633"/>
          <w:sz w:val="22"/>
          <w:szCs w:val="22"/>
        </w:rPr>
        <w:t xml:space="preserve">An heir who keeps an asset may pay the others. Whether and how to do this is for the family, the attorney, and the scholar.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b/>
          <w:bCs/>
          <w:color w:val="132633"/>
          <w:sz w:val="22"/>
          <w:szCs w:val="22"/>
        </w:rPr>
        <w:t xml:space="preserve">Minor heirs. </w:t>
      </w:r>
      <w:r>
        <w:rPr>
          <w:rFonts w:ascii="Calibri" w:cs="Calibri" w:eastAsia="Calibri" w:hAnsi="Calibri"/>
          <w:color w:val="132633"/>
          <w:sz w:val="22"/>
          <w:szCs w:val="22"/>
        </w:rPr>
        <w:t xml:space="preserve">Handling a minor's share needs advice from a scholar and an attorney. Do not finalize anything involving a minor without them.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b/>
          <w:bCs/>
          <w:color w:val="132633"/>
          <w:sz w:val="22"/>
          <w:szCs w:val="22"/>
        </w:rPr>
        <w:t xml:space="preserve">Assets in several countries. </w:t>
      </w:r>
      <w:r>
        <w:rPr>
          <w:rFonts w:ascii="Calibri" w:cs="Calibri" w:eastAsia="Calibri" w:hAnsi="Calibri"/>
          <w:color w:val="132633"/>
          <w:sz w:val="22"/>
          <w:szCs w:val="22"/>
        </w:rPr>
        <w:t xml:space="preserve">Different countries may apply different rules and take different time to settle.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b/>
          <w:bCs/>
          <w:color w:val="132633"/>
          <w:sz w:val="22"/>
          <w:szCs w:val="22"/>
        </w:rPr>
        <w:t xml:space="preserve">Raashid's Administer mode. </w:t>
      </w:r>
      <w:r>
        <w:rPr>
          <w:rFonts w:ascii="Calibri" w:cs="Calibri" w:eastAsia="Calibri" w:hAnsi="Calibri"/>
          <w:color w:val="132633"/>
          <w:sz w:val="22"/>
          <w:szCs w:val="22"/>
        </w:rPr>
        <w:t xml:space="preserve">When an estate has already passed, Raashid's Administer mode helps a family see how to divide it. Use it as a starting point for the conversation with the attorney and scholar, not as the final answer.</w:t>
      </w:r>
    </w:p>
    <w:p>
      <w:pPr>
        <w:pStyle w:val="Heading2"/>
        <w:spacing w:after="80" w:before="200"/>
      </w:pPr>
      <w:r>
        <w:rPr>
          <w:rFonts w:ascii="Cambria" w:cs="Cambria" w:eastAsia="Cambria" w:hAnsi="Cambria"/>
          <w:b/>
          <w:bCs/>
          <w:color w:val="25593E"/>
          <w:sz w:val="28"/>
          <w:szCs w:val="28"/>
        </w:rPr>
        <w:t xml:space="preserve">Notes for this client</w:t>
      </w:r>
    </w:p>
    <w:tbl>
      <w:tblPr>
        <w:tblW w:type="dxa" w:w="96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840"/>
      </w:tblGrid>
      <w:tr>
        <w:trPr>
          <w:tblHeader/>
        </w:trPr>
        <w:tc>
          <w:tcPr>
            <w:tcW w:type="dxa" w:w="28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shd w:fill="25593E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Topic</w:t>
            </w:r>
          </w:p>
        </w:tc>
        <w:tc>
          <w:tcPr>
            <w:tcW w:type="dxa" w:w="68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shd w:fill="25593E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Notes</w:t>
            </w:r>
          </w:p>
        </w:tc>
      </w:tr>
      <w:tr>
        <w:trPr>
          <w:trHeight w:val="800" w:hRule="atLeast"/>
        </w:trPr>
        <w:tc>
          <w:tcPr>
            <w:tcW w:type="dxa" w:w="28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>Cash for first claims</w:t>
            </w:r>
          </w:p>
        </w:tc>
        <w:tc>
          <w:tcPr>
            <w:tcW w:type="dxa" w:w="68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</w:tr>
      <w:tr>
        <w:trPr>
          <w:trHeight w:val="800" w:hRule="atLeast"/>
        </w:trPr>
        <w:tc>
          <w:tcPr>
            <w:tcW w:type="dxa" w:w="28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>Assets that cannot be split</w:t>
            </w:r>
          </w:p>
        </w:tc>
        <w:tc>
          <w:tcPr>
            <w:tcW w:type="dxa" w:w="68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</w:tr>
      <w:tr>
        <w:trPr>
          <w:trHeight w:val="800" w:hRule="atLeast"/>
        </w:trPr>
        <w:tc>
          <w:tcPr>
            <w:tcW w:type="dxa" w:w="28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>Minor heirs</w:t>
            </w:r>
          </w:p>
        </w:tc>
        <w:tc>
          <w:tcPr>
            <w:tcW w:type="dxa" w:w="68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</w:tr>
      <w:tr>
        <w:trPr>
          <w:trHeight w:val="800" w:hRule="atLeast"/>
        </w:trPr>
        <w:tc>
          <w:tcPr>
            <w:tcW w:type="dxa" w:w="28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>Several countries</w:t>
            </w:r>
          </w:p>
        </w:tc>
        <w:tc>
          <w:tcPr>
            <w:tcW w:type="dxa" w:w="68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</w:tr>
    </w:tbl>
    <w:sectPr>
      <w:footerReference w:type="default" r:id="rId7"/>
      <w:pgSz w:w="12240" w:h="15840" w:orient="portrait"/>
      <w:pgMar w:top="1200" w:right="1300" w:bottom="12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6626B"/>
        <w:sz w:val="16"/>
        <w:szCs w:val="16"/>
      </w:rPr>
      <w:t xml:space="preserve">Raashid liquidity and division notes  ·  General information, not legal or religious advice  ·  raashid.com  ·  Page </w:t>
    </w:r>
    <w:r>
      <w:rPr>
        <w:rFonts w:ascii="Calibri" w:cs="Calibri" w:eastAsia="Calibri" w:hAnsi="Calibri"/>
        <w:color w:val="5662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Raashid liquidity and division notes</dc:title>
  <dc:creator>Raashid (raashid.com)</dc:creator>
  <cp:lastModifiedBy>Un-named</cp:lastModifiedBy>
  <cp:revision>1</cp:revision>
  <dcterms:created xsi:type="dcterms:W3CDTF">2026-10-12T21:34:04.947Z</dcterms:created>
  <dcterms:modified xsi:type="dcterms:W3CDTF">2026-10-12T21:34:04.947Z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