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0"/>
      </w:pPr>
      <w:r>
        <w:rPr>
          <w:rFonts w:ascii="Cambria" w:cs="Cambria" w:eastAsia="Cambria" w:hAnsi="Cambria"/>
          <w:b/>
          <w:bCs/>
          <w:color w:val="173B2A"/>
          <w:sz w:val="40"/>
          <w:szCs w:val="40"/>
        </w:rPr>
        <w:t xml:space="preserve">Drafting discussion points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6626B"/>
          <w:sz w:val="20"/>
          <w:szCs w:val="20"/>
        </w:rPr>
        <w:t xml:space="preserve">A checklist for the drafting conversation. Use it with the client's scholar's guidance in hand. It prompts discussion and does not give legal or religious advice.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800"/>
        <w:gridCol w:w="2840"/>
      </w:tblGrid>
      <w:tr>
        <w:trPr>
          <w:tblHeader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Point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Discuss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shd w:fill="25593E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Notes / decision</w:t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Distribution by shares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Does the client want the estate to follow the Islamic shares? Which school? Record the school selected and the date of the calculation.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Bequest up to one third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Is a bequest wanted? It is limited to one third, and goes to non-heirs unless all heirs agree. Refer the details to the client's scholar.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Debts and funeral costs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These are paid first. Include unpaid mahr and any other debt owed. Explain how they will be paid.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Assets outside the will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List accounts and property that pass by title or beneficiary designation. Decide whether to re-title or re-designate so the outcome matches the client's intention.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Minor heirs and guardianship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Name a guardian. Consider how a minor's share will be held and managed.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Executor and burial wishes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Name an executor and a back-up. Record burial instructions where they will be found quickly.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  <w:tr>
        <w:trPr>
          <w:trHeight w:val="900" w:hRule="atLeast"/>
        </w:trPr>
        <w:tc>
          <w:tcPr>
            <w:tcW w:type="dxa" w:w="20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32633"/>
                <w:sz w:val="22"/>
                <w:szCs w:val="22"/>
              </w:rPr>
              <w:t xml:space="preserve">Review after life events</w:t>
            </w:r>
          </w:p>
        </w:tc>
        <w:tc>
          <w:tcPr>
            <w:tcW w:type="dxa" w:w="480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>Plan to review after a marriage, a birth, a death or a divorce, and every few years.</w:t>
            </w:r>
          </w:p>
        </w:tc>
        <w:tc>
          <w:tcPr>
            <w:tcW w:type="dxa" w:w="2840"/>
            <w:tcBorders>
              <w:top w:val="single" w:color="D6D0BC" w:sz="4"/>
              <w:left w:val="single" w:color="D6D0BC" w:sz="4"/>
              <w:bottom w:val="single" w:color="D6D0BC" w:sz="4"/>
              <w:right w:val="single" w:color="D6D0BC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Calibri" w:cs="Calibri" w:eastAsia="Calibri" w:hAnsi="Calibri"/>
                <w:color w:val="132633"/>
                <w:sz w:val="22"/>
                <w:szCs w:val="22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2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6626B"/>
        <w:sz w:val="16"/>
        <w:szCs w:val="16"/>
      </w:rPr>
      <w:t xml:space="preserve">Raashid drafting discussion points  ·  General information, not legal or religious advice  ·  raashid.com  ·  Page </w:t>
    </w:r>
    <w:r>
      <w:rPr>
        <w:rFonts w:ascii="Calibri" w:cs="Calibri" w:eastAsia="Calibri" w:hAnsi="Calibri"/>
        <w:color w:val="5662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Raashid drafting discussion points</dc:title>
  <dc:creator>Raashid (raashid.com)</dc:creator>
  <cp:lastModifiedBy>Un-named</cp:lastModifiedBy>
  <cp:revision>1</cp:revision>
  <dcterms:created xsi:type="dcterms:W3CDTF">2026-10-12T21:19:28.056Z</dcterms:created>
  <dcterms:modified xsi:type="dcterms:W3CDTF">2026-10-12T21:19:28.056Z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